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C36" w:rsidRDefault="00C811B4">
      <w:pPr>
        <w:spacing w:line="276" w:lineRule="auto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Чек-лист для тестирования </w:t>
      </w:r>
      <w:bookmarkStart w:id="0" w:name="_GoBack"/>
      <w:r w:rsidR="002A56AE">
        <w:rPr>
          <w:rFonts w:ascii="Calibri" w:hAnsi="Calibri" w:cs="Calibri"/>
          <w:b/>
          <w:sz w:val="40"/>
          <w:szCs w:val="40"/>
          <w:lang w:val="en-US"/>
        </w:rPr>
        <w:t>NGFW</w:t>
      </w:r>
      <w:r w:rsidR="002A56AE" w:rsidRPr="002A56AE">
        <w:rPr>
          <w:rFonts w:ascii="Calibri" w:hAnsi="Calibri" w:cs="Calibri"/>
          <w:b/>
          <w:sz w:val="40"/>
          <w:szCs w:val="40"/>
        </w:rPr>
        <w:t xml:space="preserve"> </w:t>
      </w:r>
      <w:bookmarkEnd w:id="0"/>
      <w:r>
        <w:rPr>
          <w:rFonts w:ascii="Calibri" w:hAnsi="Calibri" w:cs="Calibri"/>
          <w:b/>
          <w:sz w:val="40"/>
          <w:szCs w:val="40"/>
        </w:rPr>
        <w:t>ИКС</w:t>
      </w:r>
      <w:r w:rsidR="002A56AE">
        <w:rPr>
          <w:rFonts w:ascii="Calibri" w:hAnsi="Calibri" w:cs="Calibri"/>
          <w:b/>
          <w:sz w:val="40"/>
          <w:szCs w:val="40"/>
        </w:rPr>
        <w:t xml:space="preserve"> ФСТЭК</w:t>
      </w:r>
    </w:p>
    <w:p w:rsidR="001B2C36" w:rsidRDefault="00C811B4">
      <w:pPr>
        <w:spacing w:line="276" w:lineRule="auto"/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Мы подготовили чек-лист, чтобы тестирование ИКС было максимально комфортным, и вы смогли оценить все возможности программы.</w:t>
      </w:r>
    </w:p>
    <w:p w:rsidR="001B2C36" w:rsidRDefault="001B2C36">
      <w:pPr>
        <w:rPr>
          <w:rFonts w:ascii="Calibri" w:hAnsi="Calibri" w:cs="Calibri"/>
        </w:rPr>
      </w:pPr>
    </w:p>
    <w:p w:rsidR="001B2C36" w:rsidRDefault="00C811B4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Установка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1560"/>
        <w:gridCol w:w="5102"/>
        <w:gridCol w:w="2269"/>
      </w:tblGrid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(по шкале от 1 до 5)</w:t>
            </w: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Установка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6" w:tooltip="https://gramax.a-real.ru/ics-docs-fstek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Регистрация / активация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7" w:anchor="licensing/activation" w:tooltip="https://xserver.a-real.ru/docs/#licensing/activation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https://xserver.a-real.ru/docs/#licensing/activation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B2C36" w:rsidRDefault="001B2C36">
      <w:pPr>
        <w:rPr>
          <w:rFonts w:ascii="Calibri" w:hAnsi="Calibri" w:cs="Calibri"/>
        </w:rPr>
      </w:pPr>
    </w:p>
    <w:p w:rsidR="001B2C36" w:rsidRDefault="00C811B4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Провайдеры и сети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1560"/>
        <w:gridCol w:w="5102"/>
        <w:gridCol w:w="2269"/>
      </w:tblGrid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Создание локальной сети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8" w:tooltip="https://gramax.a-real.ru/ics-docs-fstek/set/provaydery-i-seti/lokalnaya-set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https://gramax.a-real.ru/ics-docs-fstek/set/provaydery-i-seti/lokalnaya-set-2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Настройка доступа в интернет. Создание провайдеров / маршрутов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9" w:tooltip="https://gramax.a-real.ru/ics-docs-fstek/set/provaydery-i-seti/provayder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https://gramax.a-real.ru/ics-docs-fstek/set/provaydery-i-seti/provayder-2</w:t>
              </w:r>
            </w:hyperlink>
          </w:p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0" w:tooltip="https://gramax.a-real.ru/ics-docs-fstek/scenarii-ustanovki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https://gramax.a-real.ru/ics-docs-fstek/scenarii-ustanovki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B2C36" w:rsidRDefault="001B2C36">
      <w:pPr>
        <w:rPr>
          <w:rFonts w:ascii="Calibri" w:hAnsi="Calibri" w:cs="Calibri"/>
        </w:rPr>
      </w:pPr>
    </w:p>
    <w:p w:rsidR="001B2C36" w:rsidRDefault="00C811B4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Базовая функциональность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1560"/>
        <w:gridCol w:w="5102"/>
        <w:gridCol w:w="2269"/>
      </w:tblGrid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Создание и импорт пользователей (из сети, файла, домена)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1" w:tooltip="https://gramax.a-real.ru/ics-docs-fstek/polzovateli-i-statistika/polzovateli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https://gramax.a-real.ru/ics-docs-fstek/polzovateli-i-statistika/polzovateli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Авторизация пользователей (NTLM,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Kerberos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, LDAP)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2" w:tooltip="https://gramax.a-real.ru/ics-docs-fstek/polzovateli-i-statistika/polzovateli/avtorizaciya-polzovateley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https://gramax.a-real.ru/ics-docs-fstek/polzovateli-i-statistika/polzovateli/avtorizaciya-polzovateley-2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Создание пользовательских прав доступа: правила прокси, межсетевого экрана,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Application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Firewall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(L7 фильтр), квота, полоса пропускания.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3" w:tooltip="https://gramax.a-real.ru/ics-docs-fstek/polzovateli-i-statistika/polzovatelskie-pravila-dostupa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https://gramax.a-real.ru/ics-docs-fstek/polzovateli-i-statistika/polzovatelskie-pravila-dostupa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Режимы работы прокси-сервера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4" w:tooltip="https://gramax.a-real.ru/ics-docs-fstek/set/proksi/rezhimy-raboty-proksiservera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https://gramax.a-real.ru/ics-docs-fstek/set/proksi/rezhimy-raboty-proksiservera-2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Контент-фильтр (блокировка по словам и выражениям)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5" w:tooltip="https://gramax.a-real.ru/ics-docs-fstek/zaschita/kontentfiltr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https://gramax.a-real.ru/ics-docs-fstek/zaschita/kontentfiltr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Категории трафика (блокировка по URL, MIME-типам, расширениям)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6" w:tooltip="https://gramax.a-real.ru/ics-docs-fstek/polzovateli-i-statistika/kategorii-trafika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https://gramax.a-real.ru/ics-docs-fstek/polzovateli-i-statistika/kategorii-trafika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B2C36" w:rsidRDefault="001B2C36">
      <w:pPr>
        <w:rPr>
          <w:rFonts w:ascii="Calibri" w:hAnsi="Calibri" w:cs="Calibri"/>
          <w:b/>
          <w:color w:val="0C54C6"/>
          <w:sz w:val="28"/>
          <w:szCs w:val="28"/>
        </w:rPr>
      </w:pPr>
    </w:p>
    <w:p w:rsidR="001B2C36" w:rsidRDefault="00C811B4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Защита сети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1560"/>
        <w:gridCol w:w="5102"/>
        <w:gridCol w:w="2269"/>
      </w:tblGrid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Межсетевой экран (правила, приоритеты,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GEOIp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7" w:tooltip="https://gramax.a-real.ru/ics-docs-fstek/set/mezhsetevoy-ekran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https://gramax.a-real.ru/ics-docs-fstek/set/mezhsetevoy-ekran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Защита от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брутфорс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атак Fail2ban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8" w:tooltip="https://gramax.a-real.ru/ics-docs-fstek/zaschita/fail2ban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https://gramax.a-real.ru/ics-docs-fstek/zaschita/fail2ban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Детектор атак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Suricata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19" w:tooltip="https://gramax.a-real.ru/ics-docs-fstek/zaschita/detektor-atak-suricata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https://gramax.a-real.ru/ics-docs-fstek/zaschita/detektor-atak-suricata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B2C36" w:rsidRDefault="001B2C36">
      <w:pPr>
        <w:rPr>
          <w:rFonts w:ascii="Calibri" w:hAnsi="Calibri" w:cs="Calibri"/>
        </w:rPr>
      </w:pPr>
    </w:p>
    <w:p w:rsidR="001B2C36" w:rsidRDefault="00C811B4">
      <w:pPr>
        <w:rPr>
          <w:rFonts w:ascii="Calibri" w:hAnsi="Calibri" w:cs="Calibri"/>
          <w:b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Сетевая функциональность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1560"/>
        <w:gridCol w:w="5102"/>
        <w:gridCol w:w="2269"/>
      </w:tblGrid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Настройка VPN-сетей (PPTP/L2TP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IPSec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0" w:tooltip="https://gramax.a-real.ru/ics-docs-fstek/set/provaydery-i-seti/vpnset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https://gramax.a-real.ru/ics-docs-fstek/set/provaydery-i-seti/vpnset-2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Настройка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OpenVPN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1" w:tooltip="https://gramax.a-real.ru/ics-docs-fstek/set/provaydery-i-seti/openvpnset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https://gramax.a-real.ru/ics-docs-fstek/set/provaydery-i-seti/openvpnset-2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Настройка SSTP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2" w:tooltip="https://gramax.a-real.ru/ics-docs-fstek/set/provaydery-i-seti/sstpset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https://gramax.a-real.ru/ics-docs-fstek/set/provaydery-i-seti/sstpset-2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Настройка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WireGuard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3" w:tooltip="https://gramax.a-real.ru/ics-docs-fstek/set/provaydery-i-seti/wireguardset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https://gramax.a-real.ru/ics-docs-fstek/set/provaydery-i-seti/wireguardset-2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670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C54C6"/>
                <w:sz w:val="22"/>
                <w:szCs w:val="22"/>
              </w:rPr>
              <w:t>Создание туннелей</w:t>
            </w: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Туннель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IPSec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4" w:tooltip="https://gramax.a-real.ru/ics-docs-fstek/set/provaydery-i-seti/tunnel-ipsec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https://gramax.a-real.ru/ics-docs-fstek/set/provaydery-i-seti/tunnel-ipsec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Туннель IPIP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5" w:tooltip="https://gramax.a-real.ru/ics-docs-fstek/set/provaydery-i-seti/tunnel-ipip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https://gramax.a-real.ru/ics-docs-fstek/set/provaydery-i-seti/tunnel-ipip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Туннель GRE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6" w:tooltip="https://gramax.a-real.ru/ics-docs-fstek/set/provaydery-i-seti/tunnel-gre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https://gramax.a-real.ru/ics-docs-fstek/set/provaydery-i-seti/tunnel-gre-2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Туннель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OpenVPN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7" w:tooltip="https://gramax.a-real.ru/ics-docs-fstek/set/provaydery-i-seti/tunnel-openvpn-3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https://gramax.a-real.ru/ics-docs-fstek/set/provaydery-i-seti/tunnel-openvpn-3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Отказоустойчивость. Настройка узлов кластера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8" w:tooltip="https://gramax.a-real.ru/ics-docs-fstek/obsluzhivanie/klaster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https://gramax.a-real.ru/ics-docs-fstek/obsluzhivanie/klaster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B2C36" w:rsidRDefault="001B2C36">
      <w:pPr>
        <w:rPr>
          <w:rFonts w:ascii="Calibri" w:hAnsi="Calibri" w:cs="Calibri"/>
          <w:b/>
          <w:color w:val="0C54C6"/>
          <w:sz w:val="28"/>
          <w:szCs w:val="28"/>
        </w:rPr>
      </w:pPr>
    </w:p>
    <w:p w:rsidR="001B2C36" w:rsidRDefault="00C811B4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Мониторинг и отчётность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1560"/>
        <w:gridCol w:w="5102"/>
        <w:gridCol w:w="2269"/>
      </w:tblGrid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Управление отчетами и пользовательской статистикой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29" w:tooltip="https://gramax.a-real.ru/ics-docs-fstek/polzovateli-i-statistika/upravlenie-otchetami/upravlenie-otchetami-obzor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https://gramax.a-real.ru/ics-docs-fstek/polzovateli-i-statistika/upravlenie-otchetami/upravlenie-otchetami-obzor-2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Сводный отчет, категории трафика, активность пользователей, лента поисковиков, объем трафика.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30" w:tooltip="https://gramax.a-real.ru/ics-docs-fstek/polzovateli-i-statistika/otchety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https://gramax.a-real.ru/ics-docs-fstek/polzovateli-i-statistika/otchety-2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Журнал и уведомления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telegram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-бот)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 w:rsidP="00A643B5">
            <w:pPr>
              <w:rPr>
                <w:rFonts w:ascii="Calibri" w:hAnsi="Calibri" w:cs="Calibri"/>
                <w:sz w:val="22"/>
                <w:szCs w:val="22"/>
              </w:rPr>
            </w:pPr>
            <w:hyperlink r:id="rId31" w:history="1">
              <w:r w:rsidR="00A643B5" w:rsidRPr="007B4E88">
                <w:rPr>
                  <w:rStyle w:val="afb"/>
                  <w:rFonts w:ascii="Calibri" w:hAnsi="Calibri" w:cs="Calibri"/>
                  <w:sz w:val="22"/>
                  <w:szCs w:val="22"/>
                </w:rPr>
                <w:t>https://gramax.a-real.ru/ics-docs-</w:t>
              </w:r>
              <w:r w:rsidR="00A643B5" w:rsidRPr="007B4E88">
                <w:rPr>
                  <w:rStyle w:val="afb"/>
                  <w:rFonts w:ascii="Calibri" w:hAnsi="Calibri" w:cs="Calibri"/>
                  <w:sz w:val="22"/>
                  <w:szCs w:val="22"/>
                  <w:lang w:val="en-US"/>
                </w:rPr>
                <w:t>f</w:t>
              </w:r>
              <w:r w:rsidR="00A643B5" w:rsidRPr="007B4E88">
                <w:rPr>
                  <w:rStyle w:val="afb"/>
                  <w:rFonts w:ascii="Calibri" w:hAnsi="Calibri" w:cs="Calibri"/>
                  <w:sz w:val="22"/>
                  <w:szCs w:val="22"/>
                </w:rPr>
                <w:t>stek/obsluzhivanie/zhurnal-i-uvedomleniya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B2C36" w:rsidRDefault="001B2C36">
      <w:pPr>
        <w:rPr>
          <w:rFonts w:ascii="Calibri" w:hAnsi="Calibri" w:cs="Calibri"/>
        </w:rPr>
      </w:pPr>
    </w:p>
    <w:p w:rsidR="001B2C36" w:rsidRDefault="00C811B4">
      <w:pPr>
        <w:rPr>
          <w:rFonts w:ascii="Calibri" w:hAnsi="Calibri" w:cs="Calibri"/>
          <w:b/>
          <w:color w:val="0C54C6"/>
          <w:sz w:val="26"/>
          <w:szCs w:val="26"/>
        </w:rPr>
      </w:pPr>
      <w:r>
        <w:rPr>
          <w:rFonts w:ascii="Calibri" w:hAnsi="Calibri" w:cs="Calibri"/>
          <w:b/>
          <w:color w:val="0C54C6"/>
          <w:sz w:val="26"/>
          <w:szCs w:val="26"/>
        </w:rPr>
        <w:t>Файловый сервер. Создание веб-ресурса и виртуального хоста, сетевое окружение</w:t>
      </w:r>
    </w:p>
    <w:tbl>
      <w:tblPr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1560"/>
        <w:gridCol w:w="5102"/>
        <w:gridCol w:w="2269"/>
      </w:tblGrid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Наименование / описание функциональности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Ссылка на документацию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Тестирование проведено (Да/Нет)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Результат и комментарий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C811B4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Насколько важен для вас функционал?         (по шкале от 1 до 5)</w:t>
            </w: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Файловый сервер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32" w:tooltip="https://gramax.a-real.ru/ics-docs-fstek/faylovyy-server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https://gramax.a-real.ru/ics-docs-fstek/faylovyy-server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B2C36">
        <w:trPr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Сетевое окружение</w:t>
            </w:r>
          </w:p>
          <w:p w:rsidR="001B2C36" w:rsidRDefault="00C811B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Создание рабочей группы и присоединение к домену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C36" w:rsidRDefault="0088279A">
            <w:pPr>
              <w:rPr>
                <w:rFonts w:ascii="Calibri" w:hAnsi="Calibri" w:cs="Calibri"/>
                <w:sz w:val="22"/>
                <w:szCs w:val="22"/>
              </w:rPr>
            </w:pPr>
            <w:hyperlink r:id="rId33" w:tooltip="https://gramax.a-real.ru/ics-docs-fstek/set/setevoe-okruzhenie-2" w:history="1">
              <w:r w:rsidR="00C811B4">
                <w:rPr>
                  <w:rStyle w:val="afb"/>
                  <w:rFonts w:ascii="Calibri" w:hAnsi="Calibri" w:cs="Calibri" w:hint="eastAsia"/>
                  <w:sz w:val="22"/>
                  <w:szCs w:val="22"/>
                </w:rPr>
                <w:t>https://gramax.a-real.ru/ics-docs-fstek/set/setevoe-okruzhenie-2</w:t>
              </w:r>
            </w:hyperlink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C36" w:rsidRDefault="001B2C3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B2C36" w:rsidRDefault="001B2C36">
      <w:pPr>
        <w:rPr>
          <w:rFonts w:ascii="Calibri" w:hAnsi="Calibri" w:cs="Calibri"/>
        </w:rPr>
      </w:pPr>
    </w:p>
    <w:p w:rsidR="001B2C36" w:rsidRDefault="001B2C36">
      <w:pPr>
        <w:rPr>
          <w:rFonts w:ascii="Calibri" w:hAnsi="Calibri" w:cs="Calibri"/>
          <w:b/>
          <w:color w:val="0C54C6"/>
          <w:sz w:val="26"/>
          <w:szCs w:val="26"/>
        </w:rPr>
      </w:pPr>
    </w:p>
    <w:sectPr w:rsidR="001B2C36">
      <w:headerReference w:type="even" r:id="rId34"/>
      <w:headerReference w:type="default" r:id="rId35"/>
      <w:headerReference w:type="first" r:id="rId36"/>
      <w:pgSz w:w="16838" w:h="11906" w:orient="landscape"/>
      <w:pgMar w:top="1191" w:right="962" w:bottom="1134" w:left="1134" w:header="1134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79A" w:rsidRDefault="0088279A">
      <w:r>
        <w:separator/>
      </w:r>
    </w:p>
  </w:endnote>
  <w:endnote w:type="continuationSeparator" w:id="0">
    <w:p w:rsidR="0088279A" w:rsidRDefault="0088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79A" w:rsidRDefault="0088279A">
      <w:r>
        <w:separator/>
      </w:r>
    </w:p>
  </w:footnote>
  <w:footnote w:type="continuationSeparator" w:id="0">
    <w:p w:rsidR="0088279A" w:rsidRDefault="00882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C36" w:rsidRDefault="001B2C3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C36" w:rsidRDefault="00C811B4">
    <w:pPr>
      <w:pStyle w:val="a6"/>
    </w:pPr>
    <w:r>
      <w:rPr>
        <w:noProof/>
        <w:lang w:eastAsia="ru-RU" w:bidi="ar-SA"/>
      </w:rPr>
      <mc:AlternateContent>
        <mc:Choice Requires="wpg">
          <w:drawing>
            <wp:anchor distT="0" distB="0" distL="0" distR="0" simplePos="0" relativeHeight="251657216" behindDoc="0" locked="0" layoutInCell="0" allowOverlap="1">
              <wp:simplePos x="0" y="0"/>
              <wp:positionH relativeFrom="column">
                <wp:posOffset>-732155</wp:posOffset>
              </wp:positionH>
              <wp:positionV relativeFrom="paragraph">
                <wp:posOffset>-720090</wp:posOffset>
              </wp:positionV>
              <wp:extent cx="10083800" cy="1200150"/>
              <wp:effectExtent l="0" t="0" r="0" b="0"/>
              <wp:wrapSquare wrapText="bothSides"/>
              <wp:docPr id="1" name="Изображение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Изображение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0083800" cy="12001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57216;o:allowoverlap:true;o:allowincell:false;mso-position-horizontal-relative:text;margin-left:-57.65pt;mso-position-horizontal:absolute;mso-position-vertical-relative:text;margin-top:-56.70pt;mso-position-vertical:absolute;width:794.00pt;height:94.50pt;mso-wrap-distance-left:0.00pt;mso-wrap-distance-top:0.00pt;mso-wrap-distance-right:0.00pt;mso-wrap-distance-bottom:0.00pt;" stroked="false">
              <v:path textboxrect="0,0,0,0"/>
              <w10:wrap type="square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C36" w:rsidRDefault="00C811B4">
    <w:pPr>
      <w:pStyle w:val="a6"/>
    </w:pPr>
    <w:r>
      <w:rPr>
        <w:noProof/>
        <w:lang w:eastAsia="ru-RU" w:bidi="ar-SA"/>
      </w:rPr>
      <mc:AlternateContent>
        <mc:Choice Requires="wpg">
          <w:drawing>
            <wp:anchor distT="0" distB="0" distL="0" distR="0" simplePos="0" relativeHeight="251658240" behindDoc="0" locked="0" layoutInCell="0" allowOverlap="1">
              <wp:simplePos x="0" y="0"/>
              <wp:positionH relativeFrom="column">
                <wp:posOffset>-732155</wp:posOffset>
              </wp:positionH>
              <wp:positionV relativeFrom="paragraph">
                <wp:posOffset>-720090</wp:posOffset>
              </wp:positionV>
              <wp:extent cx="10083800" cy="1200150"/>
              <wp:effectExtent l="0" t="0" r="0" b="0"/>
              <wp:wrapSquare wrapText="bothSides"/>
              <wp:docPr id="2" name="Изображение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Изображение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0083800" cy="12001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251658240;o:allowoverlap:true;o:allowincell:false;mso-position-horizontal-relative:text;margin-left:-57.65pt;mso-position-horizontal:absolute;mso-position-vertical-relative:text;margin-top:-56.70pt;mso-position-vertical:absolute;width:794.00pt;height:94.50pt;mso-wrap-distance-left:0.00pt;mso-wrap-distance-top:0.00pt;mso-wrap-distance-right:0.00pt;mso-wrap-distance-bottom:0.00pt;" stroked="false">
              <v:path textboxrect="0,0,0,0"/>
              <w10:wrap type="square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36"/>
    <w:rsid w:val="001B2C36"/>
    <w:rsid w:val="002A56AE"/>
    <w:rsid w:val="0088279A"/>
    <w:rsid w:val="00A643B5"/>
    <w:rsid w:val="00C8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0C2C3"/>
  <w15:docId w15:val="{D2C88027-7EAD-45FF-A68D-204C27F0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1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1"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1"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1"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18A303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0">
    <w:name w:val="Заголовок Знак1"/>
    <w:basedOn w:val="a0"/>
    <w:link w:val="a3"/>
    <w:uiPriority w:val="10"/>
    <w:rPr>
      <w:sz w:val="48"/>
      <w:szCs w:val="48"/>
    </w:rPr>
  </w:style>
  <w:style w:type="character" w:customStyle="1" w:styleId="12">
    <w:name w:val="Подзаголовок Знак1"/>
    <w:basedOn w:val="a0"/>
    <w:link w:val="a4"/>
    <w:uiPriority w:val="11"/>
    <w:rPr>
      <w:sz w:val="24"/>
      <w:szCs w:val="24"/>
    </w:rPr>
  </w:style>
  <w:style w:type="character" w:customStyle="1" w:styleId="210">
    <w:name w:val="Цитата 2 Знак1"/>
    <w:link w:val="20"/>
    <w:uiPriority w:val="29"/>
    <w:rPr>
      <w:i/>
    </w:rPr>
  </w:style>
  <w:style w:type="character" w:customStyle="1" w:styleId="13">
    <w:name w:val="Выделенная цитата Знак1"/>
    <w:link w:val="a5"/>
    <w:uiPriority w:val="30"/>
    <w:rPr>
      <w:i/>
    </w:rPr>
  </w:style>
  <w:style w:type="character" w:customStyle="1" w:styleId="14">
    <w:name w:val="Верхний колонтитул Знак1"/>
    <w:basedOn w:val="a0"/>
    <w:link w:val="a6"/>
    <w:uiPriority w:val="99"/>
  </w:style>
  <w:style w:type="character" w:customStyle="1" w:styleId="a7">
    <w:name w:val="Название объекта Знак"/>
    <w:basedOn w:val="a0"/>
    <w:link w:val="a8"/>
    <w:uiPriority w:val="35"/>
    <w:rPr>
      <w:b/>
      <w:bCs/>
      <w:color w:val="18A303" w:themeColor="accent1"/>
      <w:sz w:val="18"/>
      <w:szCs w:val="18"/>
    </w:rPr>
  </w:style>
  <w:style w:type="table" w:styleId="a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5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</w:tblPr>
    <w:tblStylePr w:type="fir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AFC55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AFC55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</w:tblPr>
    <w:tblStylePr w:type="fir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36B3FB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36B3FB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</w:tblPr>
    <w:tblStylePr w:type="fir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43E03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43E03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</w:tblPr>
    <w:tblStylePr w:type="fir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032FB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E032FB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</w:tblPr>
    <w:tblStylePr w:type="fir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750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single" w:sz="4" w:space="0" w:color="FFD750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</w:tblPr>
    <w:tblStylePr w:type="fir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A7775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single" w:sz="4" w:space="0" w:color="EA7775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1311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8A303" w:themeColor="accent1"/>
        <w:bottom w:val="single" w:sz="4" w:space="0" w:color="18A303" w:themeColor="accent1"/>
      </w:tblBorders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36B3FB" w:themeColor="accent2" w:themeTint="97"/>
        <w:bottom w:val="single" w:sz="4" w:space="0" w:color="36B3FB" w:themeColor="accent2" w:themeTint="97"/>
      </w:tblBorders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FB7E35" w:themeColor="accent3" w:themeTint="98"/>
        <w:bottom w:val="single" w:sz="4" w:space="0" w:color="FB7E35" w:themeColor="accent3" w:themeTint="98"/>
      </w:tblBorders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E032FB" w:themeColor="accent4" w:themeTint="9A"/>
        <w:bottom w:val="single" w:sz="4" w:space="0" w:color="E032FB" w:themeColor="accent4" w:themeTint="9A"/>
      </w:tblBorders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FFD444" w:themeColor="accent5" w:themeTint="9A"/>
        <w:bottom w:val="single" w:sz="4" w:space="0" w:color="FFD444" w:themeColor="accent5" w:themeTint="9A"/>
      </w:tblBorders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E9706E" w:themeColor="accent6" w:themeTint="98"/>
        <w:bottom w:val="single" w:sz="4" w:space="0" w:color="E9706E" w:themeColor="accent6" w:themeTint="98"/>
      </w:tblBorders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8A303" w:themeColor="accent1"/>
      </w:tblBorders>
    </w:tblPr>
    <w:tblStylePr w:type="fir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36B3FB" w:themeColor="accent2" w:themeTint="97"/>
      </w:tblBorders>
    </w:tblPr>
    <w:tblStylePr w:type="fir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36B3FB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36B3FB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FB7E35" w:themeColor="accent3" w:themeTint="98"/>
      </w:tblBorders>
    </w:tblPr>
    <w:tblStylePr w:type="fir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B7E35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FB7E35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E032FB" w:themeColor="accent4" w:themeTint="9A"/>
      </w:tblBorders>
    </w:tblPr>
    <w:tblStylePr w:type="fir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032FB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E032FB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FFD444" w:themeColor="accent5" w:themeTint="9A"/>
      </w:tblBorders>
    </w:tblPr>
    <w:tblStylePr w:type="fir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444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FFD444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E9706E" w:themeColor="accent6" w:themeTint="98"/>
      </w:tblBorders>
    </w:tblPr>
    <w:tblStylePr w:type="fir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9706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E9706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customStyle="1" w:styleId="16">
    <w:name w:val="Текст сноски Знак1"/>
    <w:link w:val="aa"/>
    <w:uiPriority w:val="99"/>
    <w:rPr>
      <w:sz w:val="18"/>
    </w:rPr>
  </w:style>
  <w:style w:type="character" w:customStyle="1" w:styleId="17">
    <w:name w:val="Текст концевой сноски Знак1"/>
    <w:link w:val="ab"/>
    <w:uiPriority w:val="99"/>
    <w:rPr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styleId="ac">
    <w:name w:val="FollowedHyperlink"/>
    <w:rPr>
      <w:color w:val="954F72"/>
      <w:u w:val="single"/>
    </w:rPr>
  </w:style>
  <w:style w:type="character" w:styleId="ad">
    <w:name w:val="Strong"/>
    <w:qFormat/>
    <w:rPr>
      <w:b/>
      <w:bCs/>
    </w:rPr>
  </w:style>
  <w:style w:type="character" w:styleId="ae">
    <w:name w:val="Emphasis"/>
    <w:qFormat/>
    <w:rPr>
      <w:i/>
      <w:iCs/>
    </w:rPr>
  </w:style>
  <w:style w:type="character" w:customStyle="1" w:styleId="18">
    <w:name w:val="Заголовок 1 Знак"/>
    <w:basedOn w:val="a0"/>
    <w:qFormat/>
    <w:rPr>
      <w:rFonts w:ascii="Arial" w:eastAsia="Arial" w:hAnsi="Arial" w:cs="Arial"/>
      <w:sz w:val="40"/>
      <w:szCs w:val="40"/>
    </w:rPr>
  </w:style>
  <w:style w:type="character" w:customStyle="1" w:styleId="23">
    <w:name w:val="Заголовок 2 Знак"/>
    <w:basedOn w:val="a0"/>
    <w:qFormat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qFormat/>
    <w:rPr>
      <w:rFonts w:ascii="Arial" w:eastAsia="Arial" w:hAnsi="Arial" w:cs="Arial"/>
      <w:sz w:val="30"/>
      <w:szCs w:val="30"/>
    </w:rPr>
  </w:style>
  <w:style w:type="character" w:customStyle="1" w:styleId="42">
    <w:name w:val="Заголовок 4 Знак"/>
    <w:basedOn w:val="a0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2">
    <w:name w:val="Заголовок 5 Знак"/>
    <w:basedOn w:val="a0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">
    <w:name w:val="Заголовок Знак"/>
    <w:basedOn w:val="a0"/>
    <w:qFormat/>
    <w:rPr>
      <w:sz w:val="48"/>
      <w:szCs w:val="48"/>
    </w:rPr>
  </w:style>
  <w:style w:type="character" w:customStyle="1" w:styleId="af0">
    <w:name w:val="Подзаголовок Знак"/>
    <w:basedOn w:val="a0"/>
    <w:qFormat/>
    <w:rPr>
      <w:sz w:val="24"/>
      <w:szCs w:val="24"/>
    </w:rPr>
  </w:style>
  <w:style w:type="character" w:customStyle="1" w:styleId="24">
    <w:name w:val="Цитата 2 Знак"/>
    <w:qFormat/>
    <w:rPr>
      <w:i/>
    </w:rPr>
  </w:style>
  <w:style w:type="character" w:customStyle="1" w:styleId="af1">
    <w:name w:val="Выделенная цитата Знак"/>
    <w:qFormat/>
    <w:rPr>
      <w:i/>
    </w:rPr>
  </w:style>
  <w:style w:type="character" w:customStyle="1" w:styleId="af2">
    <w:name w:val="Верхний колонтитул Знак"/>
    <w:basedOn w:val="a0"/>
    <w:qFormat/>
  </w:style>
  <w:style w:type="character" w:customStyle="1" w:styleId="FooterChar">
    <w:name w:val="Footer Char"/>
    <w:basedOn w:val="a0"/>
    <w:qFormat/>
  </w:style>
  <w:style w:type="character" w:customStyle="1" w:styleId="af3">
    <w:name w:val="Нижний колонтитул Знак"/>
    <w:qFormat/>
  </w:style>
  <w:style w:type="character" w:customStyle="1" w:styleId="af4">
    <w:name w:val="Текст сноски Знак"/>
    <w:qFormat/>
    <w:rPr>
      <w:sz w:val="18"/>
    </w:rPr>
  </w:style>
  <w:style w:type="character" w:customStyle="1" w:styleId="af5">
    <w:name w:val="Символ сноски"/>
    <w:qFormat/>
    <w:rPr>
      <w:vertAlign w:val="superscript"/>
    </w:rPr>
  </w:style>
  <w:style w:type="character" w:styleId="af6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f7">
    <w:name w:val="Текст концевой сноски Знак"/>
    <w:qFormat/>
    <w:rPr>
      <w:sz w:val="20"/>
    </w:rPr>
  </w:style>
  <w:style w:type="character" w:customStyle="1" w:styleId="af8">
    <w:name w:val="Символ концевой сноски"/>
    <w:qFormat/>
    <w:rPr>
      <w:vertAlign w:val="superscript"/>
    </w:rPr>
  </w:style>
  <w:style w:type="character" w:styleId="af9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fa">
    <w:name w:val="Маркеры"/>
    <w:qFormat/>
    <w:rPr>
      <w:rFonts w:ascii="OpenSymbol" w:eastAsia="OpenSymbol" w:hAnsi="OpenSymbol" w:cs="OpenSymbol"/>
    </w:rPr>
  </w:style>
  <w:style w:type="character" w:styleId="afb">
    <w:name w:val="Hyperlink"/>
    <w:rPr>
      <w:color w:val="000080"/>
      <w:u w:val="single"/>
    </w:rPr>
  </w:style>
  <w:style w:type="paragraph" w:styleId="a3">
    <w:name w:val="Title"/>
    <w:basedOn w:val="a"/>
    <w:next w:val="afc"/>
    <w:link w:val="10"/>
    <w:qFormat/>
    <w:pPr>
      <w:spacing w:before="300" w:after="200"/>
      <w:contextualSpacing/>
    </w:pPr>
    <w:rPr>
      <w:sz w:val="48"/>
      <w:szCs w:val="4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</w:style>
  <w:style w:type="paragraph" w:styleId="a8">
    <w:name w:val="caption"/>
    <w:basedOn w:val="a"/>
    <w:link w:val="a7"/>
    <w:qFormat/>
    <w:pPr>
      <w:suppressLineNumbers/>
      <w:spacing w:before="120" w:after="120"/>
    </w:pPr>
    <w:rPr>
      <w:i/>
      <w:iCs/>
    </w:rPr>
  </w:style>
  <w:style w:type="paragraph" w:styleId="afe">
    <w:name w:val="index heading"/>
    <w:basedOn w:val="a3"/>
  </w:style>
  <w:style w:type="paragraph" w:customStyle="1" w:styleId="aff">
    <w:name w:val="Колонтитул"/>
    <w:basedOn w:val="a"/>
    <w:qFormat/>
  </w:style>
  <w:style w:type="paragraph" w:styleId="a6">
    <w:name w:val="header"/>
    <w:basedOn w:val="aff"/>
    <w:link w:val="14"/>
  </w:style>
  <w:style w:type="paragraph" w:styleId="aff0">
    <w:name w:val="footer"/>
    <w:basedOn w:val="aff"/>
  </w:style>
  <w:style w:type="paragraph" w:customStyle="1" w:styleId="Default">
    <w:name w:val="Default"/>
    <w:qFormat/>
    <w:rPr>
      <w:rFonts w:ascii="Trebuchet MS" w:eastAsia="Times New Roman" w:hAnsi="Trebuchet MS" w:cs="Trebuchet MS"/>
      <w:color w:val="000000"/>
      <w:lang w:bidi="ar-SA"/>
    </w:rPr>
  </w:style>
  <w:style w:type="paragraph" w:customStyle="1" w:styleId="aff1">
    <w:name w:val="Содержимое таблицы"/>
    <w:basedOn w:val="a"/>
    <w:qFormat/>
    <w:pPr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paragraph" w:customStyle="1" w:styleId="caption2">
    <w:name w:val="caption2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heading2">
    <w:name w:val="index heading2"/>
    <w:basedOn w:val="a3"/>
    <w:qFormat/>
  </w:style>
  <w:style w:type="paragraph" w:customStyle="1" w:styleId="19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1a">
    <w:name w:val="Указатель1"/>
    <w:basedOn w:val="Standard"/>
    <w:qFormat/>
    <w:pPr>
      <w:suppressLineNumbers/>
    </w:pPr>
  </w:style>
  <w:style w:type="paragraph" w:styleId="aff3">
    <w:name w:val="List Paragraph"/>
    <w:basedOn w:val="a"/>
    <w:qFormat/>
    <w:pPr>
      <w:ind w:left="720"/>
      <w:contextualSpacing/>
    </w:pPr>
  </w:style>
  <w:style w:type="paragraph" w:styleId="a4">
    <w:name w:val="Subtitle"/>
    <w:basedOn w:val="a"/>
    <w:next w:val="a"/>
    <w:link w:val="12"/>
    <w:qFormat/>
    <w:pPr>
      <w:spacing w:before="200" w:after="200"/>
    </w:pPr>
  </w:style>
  <w:style w:type="paragraph" w:styleId="20">
    <w:name w:val="Quote"/>
    <w:basedOn w:val="a"/>
    <w:next w:val="a"/>
    <w:link w:val="210"/>
    <w:qFormat/>
    <w:pPr>
      <w:ind w:left="720" w:right="720"/>
    </w:pPr>
    <w:rPr>
      <w:i/>
    </w:rPr>
  </w:style>
  <w:style w:type="paragraph" w:styleId="a5">
    <w:name w:val="Intense Quote"/>
    <w:basedOn w:val="a"/>
    <w:next w:val="a"/>
    <w:link w:val="13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a">
    <w:name w:val="footnote text"/>
    <w:basedOn w:val="a"/>
    <w:link w:val="16"/>
    <w:pPr>
      <w:spacing w:after="40"/>
    </w:pPr>
    <w:rPr>
      <w:sz w:val="18"/>
    </w:rPr>
  </w:style>
  <w:style w:type="paragraph" w:styleId="ab">
    <w:name w:val="endnote text"/>
    <w:basedOn w:val="a"/>
    <w:link w:val="17"/>
    <w:rPr>
      <w:sz w:val="20"/>
    </w:rPr>
  </w:style>
  <w:style w:type="paragraph" w:styleId="1b">
    <w:name w:val="toc 1"/>
    <w:basedOn w:val="a"/>
    <w:next w:val="a"/>
    <w:pPr>
      <w:spacing w:after="57"/>
    </w:pPr>
  </w:style>
  <w:style w:type="paragraph" w:styleId="25">
    <w:name w:val="toc 2"/>
    <w:basedOn w:val="a"/>
    <w:next w:val="a"/>
    <w:pPr>
      <w:spacing w:after="57"/>
      <w:ind w:left="283"/>
    </w:pPr>
  </w:style>
  <w:style w:type="paragraph" w:styleId="33">
    <w:name w:val="toc 3"/>
    <w:basedOn w:val="a"/>
    <w:next w:val="a"/>
    <w:pPr>
      <w:spacing w:after="57"/>
      <w:ind w:left="567"/>
    </w:pPr>
  </w:style>
  <w:style w:type="paragraph" w:styleId="43">
    <w:name w:val="toc 4"/>
    <w:basedOn w:val="a"/>
    <w:next w:val="a"/>
    <w:pPr>
      <w:spacing w:after="57"/>
      <w:ind w:left="850"/>
    </w:pPr>
  </w:style>
  <w:style w:type="paragraph" w:styleId="53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2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customStyle="1" w:styleId="indexheading1">
    <w:name w:val="index heading1"/>
    <w:basedOn w:val="19"/>
    <w:qFormat/>
  </w:style>
  <w:style w:type="paragraph" w:styleId="aff4">
    <w:name w:val="TOC Heading"/>
    <w:qFormat/>
  </w:style>
  <w:style w:type="paragraph" w:styleId="aff5">
    <w:name w:val="table of figures"/>
    <w:basedOn w:val="a"/>
    <w:next w:val="a"/>
    <w:qFormat/>
  </w:style>
  <w:style w:type="paragraph" w:customStyle="1" w:styleId="Standard">
    <w:name w:val="Standard"/>
    <w:qFormat/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styleId="aff6">
    <w:name w:val="No Spacing"/>
    <w:qFormat/>
    <w:rPr>
      <w:rFonts w:ascii="Liberation Serif;Times New Roma" w:hAnsi="Liberation Serif;Times New Roma"/>
    </w:rPr>
  </w:style>
  <w:style w:type="numbering" w:customStyle="1" w:styleId="aff7">
    <w:name w:val="Без списка"/>
    <w:uiPriority w:val="99"/>
    <w:semiHidden/>
    <w:unhideWhenUsed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ramax.a-real.ru/ics-docs-fstek/polzovateli-i-statistika/polzovatelskie-pravila-dostupa" TargetMode="External"/><Relationship Id="rId18" Type="http://schemas.openxmlformats.org/officeDocument/2006/relationships/hyperlink" Target="https://gramax.a-real.ru/ics-docs-fstek/zaschita/fail2ban" TargetMode="External"/><Relationship Id="rId26" Type="http://schemas.openxmlformats.org/officeDocument/2006/relationships/hyperlink" Target="https://gramax.a-real.ru/ics-docs-fstek/set/provaydery-i-seti/tunnel-gre-2" TargetMode="External"/><Relationship Id="rId21" Type="http://schemas.openxmlformats.org/officeDocument/2006/relationships/hyperlink" Target="https://gramax.a-real.ru/ics-docs-fstek/set/provaydery-i-seti/openvpnset-2" TargetMode="External"/><Relationship Id="rId34" Type="http://schemas.openxmlformats.org/officeDocument/2006/relationships/header" Target="header1.xml"/><Relationship Id="rId7" Type="http://schemas.openxmlformats.org/officeDocument/2006/relationships/hyperlink" Target="https://xserver.a-real.ru/docs/" TargetMode="External"/><Relationship Id="rId12" Type="http://schemas.openxmlformats.org/officeDocument/2006/relationships/hyperlink" Target="https://gramax.a-real.ru/ics-docs-fstek/polzovateli-i-statistika/polzovateli/avtorizaciya-polzovateley-2" TargetMode="External"/><Relationship Id="rId17" Type="http://schemas.openxmlformats.org/officeDocument/2006/relationships/hyperlink" Target="https://gramax.a-real.ru/ics-docs-fstek/set/mezhsetevoy-ekran" TargetMode="External"/><Relationship Id="rId25" Type="http://schemas.openxmlformats.org/officeDocument/2006/relationships/hyperlink" Target="https://gramax.a-real.ru/ics-docs-fstek/set/provaydery-i-seti/tunnel-ipip" TargetMode="External"/><Relationship Id="rId33" Type="http://schemas.openxmlformats.org/officeDocument/2006/relationships/hyperlink" Target="https://gramax.a-real.ru/ics-docs-fstek/set/setevoe-okruzhenie-2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gramax.a-real.ru/ics-docs-fstek/polzovateli-i-statistika/kategorii-trafika" TargetMode="External"/><Relationship Id="rId20" Type="http://schemas.openxmlformats.org/officeDocument/2006/relationships/hyperlink" Target="https://gramax.a-real.ru/ics-docs-fstek/set/provaydery-i-seti/vpnset-2" TargetMode="External"/><Relationship Id="rId29" Type="http://schemas.openxmlformats.org/officeDocument/2006/relationships/hyperlink" Target="https://gramax.a-real.ru/ics-docs-fstek/polzovateli-i-statistika/upravlenie-otchetami/upravlenie-otchetami-obzor-2" TargetMode="External"/><Relationship Id="rId1" Type="http://schemas.openxmlformats.org/officeDocument/2006/relationships/styles" Target="styles.xml"/><Relationship Id="rId6" Type="http://schemas.openxmlformats.org/officeDocument/2006/relationships/hyperlink" Target="https://gramax.a-real.ru/ics-docs-fstek" TargetMode="External"/><Relationship Id="rId11" Type="http://schemas.openxmlformats.org/officeDocument/2006/relationships/hyperlink" Target="https://gramax.a-real.ru/ics-docs-fstek/polzovateli-i-statistika/polzovateli" TargetMode="External"/><Relationship Id="rId24" Type="http://schemas.openxmlformats.org/officeDocument/2006/relationships/hyperlink" Target="https://gramax.a-real.ru/ics-docs-fstek/set/provaydery-i-seti/tunnel-ipsec" TargetMode="External"/><Relationship Id="rId32" Type="http://schemas.openxmlformats.org/officeDocument/2006/relationships/hyperlink" Target="https://gramax.a-real.ru/ics-docs-fstek/faylovyy-server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gramax.a-real.ru/ics-docs-fstek/zaschita/kontentfiltr" TargetMode="External"/><Relationship Id="rId23" Type="http://schemas.openxmlformats.org/officeDocument/2006/relationships/hyperlink" Target="https://gramax.a-real.ru/ics-docs-fstek/set/provaydery-i-seti/wireguardset-2" TargetMode="External"/><Relationship Id="rId28" Type="http://schemas.openxmlformats.org/officeDocument/2006/relationships/hyperlink" Target="https://gramax.a-real.ru/ics-docs-fstek/obsluzhivanie/klaster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gramax.a-real.ru/ics-docs-fstek/scenarii-ustanovki" TargetMode="External"/><Relationship Id="rId19" Type="http://schemas.openxmlformats.org/officeDocument/2006/relationships/hyperlink" Target="https://gramax.a-real.ru/ics-docs-fstek/zaschita/detektor-atak-suricata" TargetMode="External"/><Relationship Id="rId31" Type="http://schemas.openxmlformats.org/officeDocument/2006/relationships/hyperlink" Target="https://gramax.a-real.ru/ics-docs-fstek/obsluzhivanie/zhurnal-i-uvedomleniy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gramax.a-real.ru/ics-docs-fstek/set/provaydery-i-seti/provayder-2" TargetMode="External"/><Relationship Id="rId14" Type="http://schemas.openxmlformats.org/officeDocument/2006/relationships/hyperlink" Target="https://gramax.a-real.ru/ics-docs-fstek/set/proksi/rezhimy-raboty-proksiservera-2" TargetMode="External"/><Relationship Id="rId22" Type="http://schemas.openxmlformats.org/officeDocument/2006/relationships/hyperlink" Target="https://gramax.a-real.ru/ics-docs-fstek/set/provaydery-i-seti/sstpset-2" TargetMode="External"/><Relationship Id="rId27" Type="http://schemas.openxmlformats.org/officeDocument/2006/relationships/hyperlink" Target="https://gramax.a-real.ru/ics-docs-fstek/set/provaydery-i-seti/tunnel-openvpn-3" TargetMode="External"/><Relationship Id="rId30" Type="http://schemas.openxmlformats.org/officeDocument/2006/relationships/hyperlink" Target="https://gramax.a-real.ru/ics-docs-fstek/polzovateli-i-statistika/otchety-2" TargetMode="External"/><Relationship Id="rId35" Type="http://schemas.openxmlformats.org/officeDocument/2006/relationships/header" Target="header2.xml"/><Relationship Id="rId8" Type="http://schemas.openxmlformats.org/officeDocument/2006/relationships/hyperlink" Target="https://gramax.a-real.ru/ics-docs-fstek/set/provaydery-i-seti/lokalnaya-set-2" TargetMode="External"/><Relationship Id="rId3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1419</Words>
  <Characters>8091</Characters>
  <Application>Microsoft Office Word</Application>
  <DocSecurity>0</DocSecurity>
  <Lines>67</Lines>
  <Paragraphs>18</Paragraphs>
  <ScaleCrop>false</ScaleCrop>
  <Company/>
  <LinksUpToDate>false</LinksUpToDate>
  <CharactersWithSpaces>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Светлана Сторожева</cp:lastModifiedBy>
  <cp:revision>21</cp:revision>
  <dcterms:created xsi:type="dcterms:W3CDTF">2026-08-28T11:00:00Z</dcterms:created>
  <dcterms:modified xsi:type="dcterms:W3CDTF">2026-08-28T13:39:00Z</dcterms:modified>
  <dc:language>ru-RU</dc:language>
</cp:coreProperties>
</file>